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2FE" w:rsidRPr="00F77997" w:rsidRDefault="0080782F" w:rsidP="009332FE">
      <w:pPr>
        <w:spacing w:after="240" w:line="240" w:lineRule="auto"/>
        <w:ind w:left="567" w:hanging="567"/>
        <w:jc w:val="right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Příloha č. 3</w:t>
      </w:r>
    </w:p>
    <w:p w:rsidR="009332FE" w:rsidRP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22"/>
          <w:lang w:eastAsia="cs-CZ"/>
        </w:rPr>
      </w:pPr>
      <w:r w:rsidRPr="009332FE">
        <w:rPr>
          <w:rFonts w:ascii="Arial" w:eastAsia="Times New Roman" w:hAnsi="Arial" w:cs="Arial"/>
          <w:b/>
          <w:sz w:val="22"/>
          <w:lang w:eastAsia="cs-CZ"/>
        </w:rPr>
        <w:t>Rozdělení ceny dle jednotlivých částí díla (bez DPH)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3"/>
        <w:gridCol w:w="1276"/>
        <w:gridCol w:w="1134"/>
        <w:gridCol w:w="1276"/>
        <w:gridCol w:w="850"/>
      </w:tblGrid>
      <w:tr w:rsidR="009332FE" w:rsidRPr="009332FE" w:rsidTr="00881BCA">
        <w:trPr>
          <w:trHeight w:val="644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80782F" w:rsidRDefault="0080782F" w:rsidP="00B91DB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Arial"/>
                <w:b/>
              </w:rPr>
            </w:pPr>
            <w:r w:rsidRPr="002D1531">
              <w:rPr>
                <w:rFonts w:cs="Arial"/>
                <w:b/>
              </w:rPr>
              <w:t>Rekonstrukce a doplnění závor na přejezdu P</w:t>
            </w:r>
            <w:r w:rsidR="00B91DBF">
              <w:rPr>
                <w:rFonts w:cs="Arial"/>
                <w:b/>
              </w:rPr>
              <w:t>330</w:t>
            </w:r>
            <w:r w:rsidRPr="002D1531">
              <w:rPr>
                <w:rFonts w:cs="Arial"/>
                <w:b/>
              </w:rPr>
              <w:t xml:space="preserve"> </w:t>
            </w:r>
            <w:r w:rsidRPr="0080782F">
              <w:rPr>
                <w:rFonts w:cs="Arial"/>
                <w:b/>
              </w:rPr>
              <w:t xml:space="preserve">v km </w:t>
            </w:r>
            <w:r w:rsidR="00B91DBF">
              <w:rPr>
                <w:rFonts w:cs="Arial"/>
                <w:b/>
              </w:rPr>
              <w:t>0</w:t>
            </w:r>
            <w:r w:rsidRPr="0080782F">
              <w:rPr>
                <w:rFonts w:cs="Arial"/>
                <w:b/>
              </w:rPr>
              <w:t>,</w:t>
            </w:r>
            <w:r w:rsidR="00B91DBF">
              <w:rPr>
                <w:rFonts w:cs="Arial"/>
                <w:b/>
              </w:rPr>
              <w:t>078</w:t>
            </w:r>
            <w:r w:rsidRPr="0080782F">
              <w:rPr>
                <w:rFonts w:cs="Arial"/>
                <w:b/>
              </w:rPr>
              <w:t xml:space="preserve"> trati </w:t>
            </w:r>
            <w:r w:rsidR="00B91DBF">
              <w:rPr>
                <w:rFonts w:cs="Arial"/>
                <w:b/>
              </w:rPr>
              <w:t>Aš – Hranice v Čechách</w:t>
            </w:r>
          </w:p>
        </w:tc>
      </w:tr>
      <w:tr w:rsidR="009332FE" w:rsidRPr="009332FE" w:rsidTr="009332FE">
        <w:trPr>
          <w:trHeight w:val="6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Položka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Množství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Jednotková cena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Cena celkem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80782F">
              <w:rPr>
                <w:rFonts w:ascii="Arial" w:hAnsi="Arial" w:cs="Arial"/>
                <w:strike/>
                <w:sz w:val="19"/>
                <w:szCs w:val="19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rPr>
                <w:rFonts w:ascii="Arial" w:hAnsi="Arial" w:cs="Arial"/>
                <w:strike/>
                <w:sz w:val="18"/>
                <w:szCs w:val="19"/>
              </w:rPr>
            </w:pPr>
            <w:r w:rsidRPr="0080782F">
              <w:rPr>
                <w:rFonts w:ascii="Arial" w:hAnsi="Arial" w:cs="Arial"/>
                <w:strike/>
                <w:sz w:val="18"/>
                <w:szCs w:val="19"/>
              </w:rPr>
              <w:t>Zajištění mapových podkladů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81F03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81F03">
              <w:rPr>
                <w:rFonts w:ascii="Arial" w:hAnsi="Arial" w:cs="Arial"/>
                <w:sz w:val="19"/>
                <w:szCs w:val="19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9B1A98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Geodetické práce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9B1A98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530E63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530E63">
              <w:rPr>
                <w:rFonts w:ascii="Arial" w:hAnsi="Arial" w:cs="Arial"/>
                <w:sz w:val="18"/>
                <w:szCs w:val="19"/>
              </w:rPr>
              <w:t>Doplňující geotechnický průzkum pro železniční spodek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530E63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30E63">
              <w:rPr>
                <w:rFonts w:ascii="Arial" w:hAnsi="Arial" w:cs="Arial"/>
                <w:sz w:val="19"/>
                <w:szCs w:val="19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80782F">
              <w:rPr>
                <w:rFonts w:ascii="Arial" w:hAnsi="Arial" w:cs="Arial"/>
                <w:strike/>
                <w:sz w:val="19"/>
                <w:szCs w:val="19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rPr>
                <w:rFonts w:ascii="Arial" w:hAnsi="Arial" w:cs="Arial"/>
                <w:strike/>
                <w:sz w:val="18"/>
                <w:szCs w:val="19"/>
              </w:rPr>
            </w:pPr>
            <w:r w:rsidRPr="0080782F">
              <w:rPr>
                <w:rFonts w:ascii="Arial" w:hAnsi="Arial" w:cs="Arial"/>
                <w:strike/>
                <w:sz w:val="18"/>
                <w:szCs w:val="19"/>
              </w:rPr>
              <w:t>Doplňující geotechnický a stavebně technický průzkum staveb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81F03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81F03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80782F">
              <w:rPr>
                <w:rFonts w:ascii="Arial" w:hAnsi="Arial" w:cs="Arial"/>
                <w:strike/>
                <w:sz w:val="19"/>
                <w:szCs w:val="19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rPr>
                <w:rFonts w:ascii="Arial" w:hAnsi="Arial" w:cs="Arial"/>
                <w:strike/>
                <w:sz w:val="18"/>
                <w:szCs w:val="19"/>
              </w:rPr>
            </w:pPr>
            <w:r w:rsidRPr="0080782F">
              <w:rPr>
                <w:rFonts w:ascii="Arial" w:hAnsi="Arial" w:cs="Arial"/>
                <w:strike/>
                <w:sz w:val="18"/>
                <w:szCs w:val="19"/>
              </w:rPr>
              <w:t>Jiné průzkumy (např. pyrotechnický průzkum; pedologický průzkum atd.)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81F03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81F03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0E79C6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0E79C6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0E79C6">
              <w:rPr>
                <w:rFonts w:ascii="Arial" w:hAnsi="Arial" w:cs="Arial"/>
                <w:sz w:val="18"/>
                <w:szCs w:val="19"/>
              </w:rPr>
              <w:t>Zpracování DUSP, PDPS, vyjma příloh G, H a I, včetně všech dílčích odevzdání, dle Směrnice GŘ č. 11/2006, v platném znění, a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0E79C6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79C6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Stanovení nákladů stavby v rozsahu položkových rozpočtů jednotlivých SO a PS a souhrnného rozpočtu stavby (v rozsahu p</w:t>
            </w:r>
            <w:r>
              <w:rPr>
                <w:rFonts w:ascii="Arial" w:hAnsi="Arial" w:cs="Arial"/>
                <w:sz w:val="18"/>
                <w:szCs w:val="19"/>
              </w:rPr>
              <w:t xml:space="preserve">řílohy G - dle směrnice GŘ </w:t>
            </w:r>
            <w:r w:rsidRPr="00DA4104">
              <w:rPr>
                <w:rFonts w:ascii="Arial" w:hAnsi="Arial" w:cs="Arial"/>
                <w:sz w:val="18"/>
                <w:szCs w:val="19"/>
              </w:rPr>
              <w:t>č. 11/2006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 platném zněn</w:t>
            </w:r>
            <w:r>
              <w:rPr>
                <w:rFonts w:ascii="Arial" w:hAnsi="Arial" w:cs="Arial"/>
                <w:sz w:val="18"/>
                <w:szCs w:val="19"/>
              </w:rPr>
              <w:t>í,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a 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 xml:space="preserve">Zpracování hodnocení ekonomické </w:t>
            </w:r>
            <w:r w:rsidRPr="004F21AA">
              <w:rPr>
                <w:rFonts w:ascii="Arial" w:hAnsi="Arial" w:cs="Arial"/>
                <w:sz w:val="18"/>
                <w:szCs w:val="19"/>
              </w:rPr>
              <w:t xml:space="preserve">efektivnosti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Definitivní odevzdání dokumentace, dle SOD v listinné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9B1A98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Definitivní odevzdání dokumentace, dle SOD v elektronické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9B1A98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Zajištění technických podkladů pro vypracování zadávací dokumentace na výběr zhoto</w:t>
            </w:r>
            <w:r>
              <w:rPr>
                <w:rFonts w:ascii="Arial" w:hAnsi="Arial" w:cs="Arial"/>
                <w:sz w:val="18"/>
                <w:szCs w:val="19"/>
              </w:rPr>
              <w:t>vitele stavby dle požadavku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BA2C7D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1</w:t>
            </w:r>
            <w:r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 xml:space="preserve">Kompletní geodetická část (v rozsahu přílohy I - </w:t>
            </w:r>
            <w:r>
              <w:rPr>
                <w:rFonts w:ascii="Arial" w:hAnsi="Arial" w:cs="Arial"/>
                <w:sz w:val="18"/>
                <w:szCs w:val="19"/>
              </w:rPr>
              <w:t xml:space="preserve">dle směrnice GŘ </w:t>
            </w:r>
            <w:r w:rsidRPr="00DA4104">
              <w:rPr>
                <w:rFonts w:ascii="Arial" w:hAnsi="Arial" w:cs="Arial"/>
                <w:sz w:val="18"/>
                <w:szCs w:val="19"/>
              </w:rPr>
              <w:t>č. 11/2006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 platném zněn</w:t>
            </w:r>
            <w:r>
              <w:rPr>
                <w:rFonts w:ascii="Arial" w:hAnsi="Arial" w:cs="Arial"/>
                <w:sz w:val="18"/>
                <w:szCs w:val="19"/>
              </w:rPr>
              <w:t>í,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a dle požadavku ZTP)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včetně inženýrské činnosti a zpracování znaleckých posudků</w:t>
            </w:r>
            <w:r>
              <w:rPr>
                <w:rFonts w:ascii="Arial" w:hAnsi="Arial" w:cs="Arial"/>
                <w:sz w:val="18"/>
                <w:szCs w:val="19"/>
              </w:rPr>
              <w:t>, včetně kompletního majetkového vypořádání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EF70AC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Zajištění vydání osvědčení o shodě notifikovanou osobou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EF70AC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Koordinátor BOZP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EF70AC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15</w:t>
            </w:r>
          </w:p>
          <w:p w:rsidR="0080782F" w:rsidRPr="00EF70AC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Kompletní dokladová část (v rozsahu p</w:t>
            </w:r>
            <w:r>
              <w:rPr>
                <w:rFonts w:ascii="Arial" w:hAnsi="Arial" w:cs="Arial"/>
                <w:sz w:val="18"/>
                <w:szCs w:val="19"/>
              </w:rPr>
              <w:t xml:space="preserve">řílohy H - dle směrnice GŘ </w:t>
            </w:r>
            <w:r w:rsidRPr="00DA4104">
              <w:rPr>
                <w:rFonts w:ascii="Arial" w:hAnsi="Arial" w:cs="Arial"/>
                <w:sz w:val="18"/>
                <w:szCs w:val="19"/>
              </w:rPr>
              <w:t>č. 11/2006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 platném zněn</w:t>
            </w:r>
            <w:r>
              <w:rPr>
                <w:rFonts w:ascii="Arial" w:hAnsi="Arial" w:cs="Arial"/>
                <w:sz w:val="18"/>
                <w:szCs w:val="19"/>
              </w:rPr>
              <w:t>í,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a dle požadavku ZTP)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včetně inženýrské činnosti a zajištění </w:t>
            </w:r>
            <w:r w:rsidRPr="007615BF">
              <w:rPr>
                <w:rFonts w:ascii="Arial" w:hAnsi="Arial" w:cs="Arial"/>
                <w:sz w:val="18"/>
                <w:szCs w:val="19"/>
              </w:rPr>
              <w:t>vydání společného povolení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</w:t>
            </w:r>
            <w:r>
              <w:rPr>
                <w:rFonts w:ascii="Arial" w:hAnsi="Arial" w:cs="Arial"/>
                <w:sz w:val="18"/>
                <w:szCs w:val="19"/>
              </w:rPr>
              <w:t>s nabytím</w:t>
            </w:r>
            <w:r w:rsidRPr="00DA4104">
              <w:rPr>
                <w:rFonts w:ascii="Arial" w:hAnsi="Arial" w:cs="Arial"/>
                <w:sz w:val="18"/>
                <w:szCs w:val="19"/>
              </w:rPr>
              <w:t> právní moci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EF70AC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Správní poplatky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Rozsah činnosti při výkonu autorského dozoru</w:t>
            </w:r>
            <w:r>
              <w:rPr>
                <w:rFonts w:ascii="Arial" w:hAnsi="Arial" w:cs="Arial"/>
                <w:sz w:val="18"/>
                <w:szCs w:val="19"/>
              </w:rPr>
              <w:t xml:space="preserve"> projektanta v rámci realizace s</w:t>
            </w:r>
            <w:r w:rsidRPr="00DA4104">
              <w:rPr>
                <w:rFonts w:ascii="Arial" w:hAnsi="Arial" w:cs="Arial"/>
                <w:sz w:val="18"/>
                <w:szCs w:val="19"/>
              </w:rPr>
              <w:t>tavby dle zadávací dokumentace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p w:rsid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3"/>
        <w:gridCol w:w="1276"/>
        <w:gridCol w:w="1134"/>
        <w:gridCol w:w="1276"/>
        <w:gridCol w:w="850"/>
      </w:tblGrid>
      <w:tr w:rsidR="009332FE" w:rsidRPr="009332FE" w:rsidTr="00881BCA">
        <w:trPr>
          <w:trHeight w:val="644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80782F" w:rsidP="00B91DBF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</w:pPr>
            <w:r w:rsidRPr="002D1531">
              <w:rPr>
                <w:rFonts w:cs="Arial"/>
                <w:b/>
              </w:rPr>
              <w:t xml:space="preserve">Rekonstrukce a </w:t>
            </w:r>
            <w:r>
              <w:rPr>
                <w:rFonts w:cs="Arial"/>
                <w:b/>
              </w:rPr>
              <w:t>doplnění závor na přejezdu P</w:t>
            </w:r>
            <w:r w:rsidR="00B91DBF">
              <w:rPr>
                <w:rFonts w:cs="Arial"/>
                <w:b/>
              </w:rPr>
              <w:t>333</w:t>
            </w:r>
            <w:r w:rsidRPr="002D1531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v </w:t>
            </w:r>
            <w:proofErr w:type="gramStart"/>
            <w:r>
              <w:rPr>
                <w:rFonts w:cs="Arial"/>
                <w:b/>
              </w:rPr>
              <w:t xml:space="preserve">km </w:t>
            </w:r>
            <w:r w:rsidR="00B91DBF">
              <w:rPr>
                <w:rFonts w:cs="Arial"/>
                <w:b/>
              </w:rPr>
              <w:t>2</w:t>
            </w:r>
            <w:r>
              <w:rPr>
                <w:rFonts w:cs="Arial"/>
                <w:b/>
              </w:rPr>
              <w:t>,2</w:t>
            </w:r>
            <w:r w:rsidR="00B91DBF">
              <w:rPr>
                <w:rFonts w:cs="Arial"/>
                <w:b/>
              </w:rPr>
              <w:t>15</w:t>
            </w:r>
            <w:proofErr w:type="gramEnd"/>
            <w:r w:rsidRPr="0080782F">
              <w:rPr>
                <w:rFonts w:cs="Arial"/>
                <w:b/>
              </w:rPr>
              <w:t xml:space="preserve"> trati </w:t>
            </w:r>
            <w:r w:rsidR="00B91DBF">
              <w:rPr>
                <w:rFonts w:cs="Arial"/>
                <w:b/>
              </w:rPr>
              <w:t>Aš – Hranice v Čechách</w:t>
            </w:r>
          </w:p>
        </w:tc>
      </w:tr>
      <w:tr w:rsidR="0080782F" w:rsidRPr="009332FE" w:rsidTr="00881BCA">
        <w:trPr>
          <w:trHeight w:val="6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>Položka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>Popis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 xml:space="preserve">Množství </w:t>
            </w:r>
            <w:r w:rsidRPr="00DB245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 xml:space="preserve">Jednotková cena </w:t>
            </w:r>
            <w:r w:rsidRPr="00DB245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 xml:space="preserve">Cena celkem </w:t>
            </w:r>
            <w:r w:rsidRPr="00DB245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*)</w:t>
            </w:r>
          </w:p>
        </w:tc>
      </w:tr>
      <w:tr w:rsidR="0080782F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80782F">
              <w:rPr>
                <w:rFonts w:ascii="Arial" w:hAnsi="Arial" w:cs="Arial"/>
                <w:strike/>
                <w:sz w:val="19"/>
                <w:szCs w:val="19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rPr>
                <w:rFonts w:ascii="Arial" w:hAnsi="Arial" w:cs="Arial"/>
                <w:strike/>
                <w:sz w:val="18"/>
                <w:szCs w:val="19"/>
              </w:rPr>
            </w:pPr>
            <w:r w:rsidRPr="0080782F">
              <w:rPr>
                <w:rFonts w:ascii="Arial" w:hAnsi="Arial" w:cs="Arial"/>
                <w:strike/>
                <w:sz w:val="18"/>
                <w:szCs w:val="19"/>
              </w:rPr>
              <w:t>Zajištění mapových podkladů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81F03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81F03">
              <w:rPr>
                <w:rFonts w:ascii="Arial" w:hAnsi="Arial" w:cs="Arial"/>
                <w:sz w:val="19"/>
                <w:szCs w:val="19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0782F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9B1A98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Geodetické práce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81F03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81F03">
              <w:rPr>
                <w:rFonts w:ascii="Arial" w:hAnsi="Arial" w:cs="Arial"/>
                <w:sz w:val="19"/>
                <w:szCs w:val="19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F0B9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BF0B9E" w:rsidRDefault="00BF0B9E" w:rsidP="00BF0B9E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BF0B9E">
              <w:rPr>
                <w:rFonts w:ascii="Arial" w:hAnsi="Arial" w:cs="Arial"/>
                <w:strike/>
                <w:sz w:val="19"/>
                <w:szCs w:val="19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BF0B9E" w:rsidRDefault="00BF0B9E" w:rsidP="00BF0B9E">
            <w:pPr>
              <w:rPr>
                <w:rFonts w:ascii="Arial" w:hAnsi="Arial" w:cs="Arial"/>
                <w:strike/>
                <w:sz w:val="18"/>
                <w:szCs w:val="19"/>
              </w:rPr>
            </w:pPr>
            <w:r w:rsidRPr="00BF0B9E">
              <w:rPr>
                <w:rFonts w:ascii="Arial" w:hAnsi="Arial" w:cs="Arial"/>
                <w:strike/>
                <w:sz w:val="18"/>
                <w:szCs w:val="19"/>
              </w:rPr>
              <w:t>Doplňující geotechnický průzkum pro železniční spodek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81F03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81F03">
              <w:rPr>
                <w:rFonts w:ascii="Arial" w:hAnsi="Arial" w:cs="Arial"/>
                <w:sz w:val="19"/>
                <w:szCs w:val="19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bookmarkStart w:id="0" w:name="_GoBack"/>
        <w:bookmarkEnd w:id="0"/>
      </w:tr>
      <w:tr w:rsidR="00BF0B9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80782F" w:rsidRDefault="00BF0B9E" w:rsidP="00BF0B9E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80782F">
              <w:rPr>
                <w:rFonts w:ascii="Arial" w:hAnsi="Arial" w:cs="Arial"/>
                <w:strike/>
                <w:sz w:val="19"/>
                <w:szCs w:val="19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80782F" w:rsidRDefault="00BF0B9E" w:rsidP="00BF0B9E">
            <w:pPr>
              <w:rPr>
                <w:rFonts w:ascii="Arial" w:hAnsi="Arial" w:cs="Arial"/>
                <w:strike/>
                <w:sz w:val="18"/>
                <w:szCs w:val="19"/>
              </w:rPr>
            </w:pPr>
            <w:r w:rsidRPr="0080782F">
              <w:rPr>
                <w:rFonts w:ascii="Arial" w:hAnsi="Arial" w:cs="Arial"/>
                <w:strike/>
                <w:sz w:val="18"/>
                <w:szCs w:val="19"/>
              </w:rPr>
              <w:t>Doplňující geotechnický a stavebně technický průzkum staveb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81F03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81F03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BF0B9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80782F" w:rsidRDefault="00BF0B9E" w:rsidP="00BF0B9E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80782F">
              <w:rPr>
                <w:rFonts w:ascii="Arial" w:hAnsi="Arial" w:cs="Arial"/>
                <w:strike/>
                <w:sz w:val="19"/>
                <w:szCs w:val="19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80782F" w:rsidRDefault="00BF0B9E" w:rsidP="00BF0B9E">
            <w:pPr>
              <w:rPr>
                <w:rFonts w:ascii="Arial" w:hAnsi="Arial" w:cs="Arial"/>
                <w:strike/>
                <w:sz w:val="18"/>
                <w:szCs w:val="19"/>
              </w:rPr>
            </w:pPr>
            <w:r w:rsidRPr="0080782F">
              <w:rPr>
                <w:rFonts w:ascii="Arial" w:hAnsi="Arial" w:cs="Arial"/>
                <w:strike/>
                <w:sz w:val="18"/>
                <w:szCs w:val="19"/>
              </w:rPr>
              <w:t>Jiné průzkumy (např. pyrotechnický průzkum; pedologický průzkum atd.)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81F03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81F03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BF0B9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B9E" w:rsidRPr="000E79C6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B9E" w:rsidRPr="000E79C6" w:rsidRDefault="00BF0B9E" w:rsidP="00BF0B9E">
            <w:pPr>
              <w:rPr>
                <w:rFonts w:ascii="Arial" w:hAnsi="Arial" w:cs="Arial"/>
                <w:sz w:val="18"/>
                <w:szCs w:val="19"/>
              </w:rPr>
            </w:pPr>
            <w:r w:rsidRPr="000E79C6">
              <w:rPr>
                <w:rFonts w:ascii="Arial" w:hAnsi="Arial" w:cs="Arial"/>
                <w:sz w:val="18"/>
                <w:szCs w:val="19"/>
              </w:rPr>
              <w:t>Zpracování DUSP, PDPS, vyjma příloh G, H a I, včetně všech dílčích odevzdání, dle Směrnice GŘ č. 11/2006, v platném znění, a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B9E" w:rsidRPr="000E79C6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79C6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F0B9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B9E" w:rsidRPr="00DA4104" w:rsidRDefault="00BF0B9E" w:rsidP="00BF0B9E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Stanovení nákladů stavby v rozsahu položkových rozpočtů jednotlivých SO a PS a souhrnného rozpočtu stavby (v rozsahu p</w:t>
            </w:r>
            <w:r>
              <w:rPr>
                <w:rFonts w:ascii="Arial" w:hAnsi="Arial" w:cs="Arial"/>
                <w:sz w:val="18"/>
                <w:szCs w:val="19"/>
              </w:rPr>
              <w:t xml:space="preserve">řílohy G - dle směrnice GŘ </w:t>
            </w:r>
            <w:r w:rsidRPr="00DA4104">
              <w:rPr>
                <w:rFonts w:ascii="Arial" w:hAnsi="Arial" w:cs="Arial"/>
                <w:sz w:val="18"/>
                <w:szCs w:val="19"/>
              </w:rPr>
              <w:t>č. 11/2006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 platném zněn</w:t>
            </w:r>
            <w:r>
              <w:rPr>
                <w:rFonts w:ascii="Arial" w:hAnsi="Arial" w:cs="Arial"/>
                <w:sz w:val="18"/>
                <w:szCs w:val="19"/>
              </w:rPr>
              <w:t>í,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a 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F0B9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A4104" w:rsidRDefault="00BF0B9E" w:rsidP="00BF0B9E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 xml:space="preserve">Zpracování hodnocení ekonomické </w:t>
            </w:r>
            <w:r w:rsidRPr="004F21AA">
              <w:rPr>
                <w:rFonts w:ascii="Arial" w:hAnsi="Arial" w:cs="Arial"/>
                <w:sz w:val="18"/>
                <w:szCs w:val="19"/>
              </w:rPr>
              <w:t xml:space="preserve">efektivnosti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F0B9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A4104" w:rsidRDefault="00BF0B9E" w:rsidP="00BF0B9E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Definitivní odevzdání dokumentace, dle SOD v listinné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9B1A98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F0B9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A4104" w:rsidRDefault="00BF0B9E" w:rsidP="00BF0B9E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Definitivní odevzdání dokumentace, dle SOD v elektronické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9B1A98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F0B9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A4104" w:rsidRDefault="00BF0B9E" w:rsidP="00BF0B9E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Zajištění technických podkladů pro vypracování zadávací dokumentace na výběr zhoto</w:t>
            </w:r>
            <w:r>
              <w:rPr>
                <w:rFonts w:ascii="Arial" w:hAnsi="Arial" w:cs="Arial"/>
                <w:sz w:val="18"/>
                <w:szCs w:val="19"/>
              </w:rPr>
              <w:t>vitele stavby dle požadavku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F0B9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BA2C7D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1</w:t>
            </w:r>
            <w:r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A4104" w:rsidRDefault="00BF0B9E" w:rsidP="00BF0B9E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 xml:space="preserve">Kompletní geodetická část (v rozsahu přílohy I - </w:t>
            </w:r>
            <w:r>
              <w:rPr>
                <w:rFonts w:ascii="Arial" w:hAnsi="Arial" w:cs="Arial"/>
                <w:sz w:val="18"/>
                <w:szCs w:val="19"/>
              </w:rPr>
              <w:t xml:space="preserve">dle směrnice GŘ </w:t>
            </w:r>
            <w:r w:rsidRPr="00DA4104">
              <w:rPr>
                <w:rFonts w:ascii="Arial" w:hAnsi="Arial" w:cs="Arial"/>
                <w:sz w:val="18"/>
                <w:szCs w:val="19"/>
              </w:rPr>
              <w:t>č. 11/2006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 platném zněn</w:t>
            </w:r>
            <w:r>
              <w:rPr>
                <w:rFonts w:ascii="Arial" w:hAnsi="Arial" w:cs="Arial"/>
                <w:sz w:val="18"/>
                <w:szCs w:val="19"/>
              </w:rPr>
              <w:t>í,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a dle požadavku ZTP)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včetně inženýrské činnosti a zpracování znaleckých posudků</w:t>
            </w:r>
            <w:r>
              <w:rPr>
                <w:rFonts w:ascii="Arial" w:hAnsi="Arial" w:cs="Arial"/>
                <w:sz w:val="18"/>
                <w:szCs w:val="19"/>
              </w:rPr>
              <w:t>, včetně kompletního majetkového vypořádání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F0B9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EF70AC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A4104" w:rsidRDefault="00BF0B9E" w:rsidP="00BF0B9E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Zajištění vydání osvědčení o shodě notifikovanou osobou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F0B9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EF70AC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A4104" w:rsidRDefault="00BF0B9E" w:rsidP="00BF0B9E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Koordinátor BOZP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F0B9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EF70AC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15</w:t>
            </w:r>
          </w:p>
          <w:p w:rsidR="00BF0B9E" w:rsidRPr="00EF70AC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B9E" w:rsidRPr="00DA4104" w:rsidRDefault="00BF0B9E" w:rsidP="00BF0B9E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Kompletní dokladová část (v rozsahu p</w:t>
            </w:r>
            <w:r>
              <w:rPr>
                <w:rFonts w:ascii="Arial" w:hAnsi="Arial" w:cs="Arial"/>
                <w:sz w:val="18"/>
                <w:szCs w:val="19"/>
              </w:rPr>
              <w:t xml:space="preserve">řílohy H - dle směrnice GŘ </w:t>
            </w:r>
            <w:r w:rsidRPr="00DA4104">
              <w:rPr>
                <w:rFonts w:ascii="Arial" w:hAnsi="Arial" w:cs="Arial"/>
                <w:sz w:val="18"/>
                <w:szCs w:val="19"/>
              </w:rPr>
              <w:t>č. 11/2006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 platném zněn</w:t>
            </w:r>
            <w:r>
              <w:rPr>
                <w:rFonts w:ascii="Arial" w:hAnsi="Arial" w:cs="Arial"/>
                <w:sz w:val="18"/>
                <w:szCs w:val="19"/>
              </w:rPr>
              <w:t>í,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a dle požadavku ZTP)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včetně inženýrské činnosti a zajištění </w:t>
            </w:r>
            <w:r w:rsidRPr="007615BF">
              <w:rPr>
                <w:rFonts w:ascii="Arial" w:hAnsi="Arial" w:cs="Arial"/>
                <w:sz w:val="18"/>
                <w:szCs w:val="19"/>
              </w:rPr>
              <w:t>vydání společného povolení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</w:t>
            </w:r>
            <w:r>
              <w:rPr>
                <w:rFonts w:ascii="Arial" w:hAnsi="Arial" w:cs="Arial"/>
                <w:sz w:val="18"/>
                <w:szCs w:val="19"/>
              </w:rPr>
              <w:t>s nabytím</w:t>
            </w:r>
            <w:r w:rsidRPr="00DA4104">
              <w:rPr>
                <w:rFonts w:ascii="Arial" w:hAnsi="Arial" w:cs="Arial"/>
                <w:sz w:val="18"/>
                <w:szCs w:val="19"/>
              </w:rPr>
              <w:t> právní moci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F0B9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EF70AC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A4104" w:rsidRDefault="00BF0B9E" w:rsidP="00BF0B9E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Správní poplatky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F0B9E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A4104" w:rsidRDefault="00BF0B9E" w:rsidP="00BF0B9E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Rozsah činnosti při výkonu autorského dozoru</w:t>
            </w:r>
            <w:r>
              <w:rPr>
                <w:rFonts w:ascii="Arial" w:hAnsi="Arial" w:cs="Arial"/>
                <w:sz w:val="18"/>
                <w:szCs w:val="19"/>
              </w:rPr>
              <w:t xml:space="preserve"> projektanta v rámci realizace s</w:t>
            </w:r>
            <w:r w:rsidRPr="00DA4104">
              <w:rPr>
                <w:rFonts w:ascii="Arial" w:hAnsi="Arial" w:cs="Arial"/>
                <w:sz w:val="18"/>
                <w:szCs w:val="19"/>
              </w:rPr>
              <w:t>tavby dle zadávací dokumentace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B9E" w:rsidRPr="00DB245B" w:rsidRDefault="00BF0B9E" w:rsidP="00BF0B9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sectPr w:rsidR="009332FE" w:rsidRPr="009332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4A5" w:rsidRDefault="00F514A5" w:rsidP="00F77997">
      <w:pPr>
        <w:spacing w:after="0" w:line="240" w:lineRule="auto"/>
      </w:pPr>
      <w:r>
        <w:separator/>
      </w:r>
    </w:p>
  </w:endnote>
  <w:endnote w:type="continuationSeparator" w:id="0">
    <w:p w:rsidR="00F514A5" w:rsidRDefault="00F514A5" w:rsidP="00F7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0113679"/>
      <w:docPartObj>
        <w:docPartGallery w:val="Page Numbers (Bottom of Page)"/>
        <w:docPartUnique/>
      </w:docPartObj>
    </w:sdtPr>
    <w:sdtEndPr/>
    <w:sdtContent>
      <w:p w:rsidR="00F77997" w:rsidRDefault="00F77997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B9E">
          <w:rPr>
            <w:noProof/>
          </w:rPr>
          <w:t>3</w:t>
        </w:r>
        <w:r>
          <w:fldChar w:fldCharType="end"/>
        </w:r>
      </w:p>
    </w:sdtContent>
  </w:sdt>
  <w:p w:rsidR="00F77997" w:rsidRDefault="00F779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4A5" w:rsidRDefault="00F514A5" w:rsidP="00F77997">
      <w:pPr>
        <w:spacing w:after="0" w:line="240" w:lineRule="auto"/>
      </w:pPr>
      <w:r>
        <w:separator/>
      </w:r>
    </w:p>
  </w:footnote>
  <w:footnote w:type="continuationSeparator" w:id="0">
    <w:p w:rsidR="00F514A5" w:rsidRDefault="00F514A5" w:rsidP="00F779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" w15:restartNumberingAfterBreak="0">
    <w:nsid w:val="2F131EE4"/>
    <w:multiLevelType w:val="hybridMultilevel"/>
    <w:tmpl w:val="4D24ED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04FF2"/>
    <w:multiLevelType w:val="hybridMultilevel"/>
    <w:tmpl w:val="979257D6"/>
    <w:lvl w:ilvl="0" w:tplc="6BC0011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731E84"/>
    <w:multiLevelType w:val="hybridMultilevel"/>
    <w:tmpl w:val="9558BB70"/>
    <w:lvl w:ilvl="0" w:tplc="6BA64E8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4C2"/>
    <w:rsid w:val="000B313E"/>
    <w:rsid w:val="00127826"/>
    <w:rsid w:val="001C5A43"/>
    <w:rsid w:val="003727EC"/>
    <w:rsid w:val="00594E82"/>
    <w:rsid w:val="006664C2"/>
    <w:rsid w:val="007C6A01"/>
    <w:rsid w:val="0080782F"/>
    <w:rsid w:val="00917898"/>
    <w:rsid w:val="009332FE"/>
    <w:rsid w:val="009C75D9"/>
    <w:rsid w:val="00B3736E"/>
    <w:rsid w:val="00B66ACA"/>
    <w:rsid w:val="00B91DBF"/>
    <w:rsid w:val="00BF0B9E"/>
    <w:rsid w:val="00BF6A6B"/>
    <w:rsid w:val="00C53532"/>
    <w:rsid w:val="00E8426A"/>
    <w:rsid w:val="00EA2431"/>
    <w:rsid w:val="00F514A5"/>
    <w:rsid w:val="00F7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E8B36"/>
  <w15:docId w15:val="{5EFA0600-FA84-41D8-92DA-BA097DB9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32FE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F77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7997"/>
  </w:style>
  <w:style w:type="paragraph" w:styleId="Zpat">
    <w:name w:val="footer"/>
    <w:basedOn w:val="Normln"/>
    <w:link w:val="ZpatChar"/>
    <w:uiPriority w:val="99"/>
    <w:unhideWhenUsed/>
    <w:rsid w:val="00F77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7997"/>
  </w:style>
  <w:style w:type="paragraph" w:styleId="slovanseznam">
    <w:name w:val="List Number"/>
    <w:basedOn w:val="Normln"/>
    <w:uiPriority w:val="28"/>
    <w:unhideWhenUsed/>
    <w:rsid w:val="0080782F"/>
    <w:pPr>
      <w:numPr>
        <w:numId w:val="5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0782F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0782F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0782F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0782F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0782F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Kubátová</dc:creator>
  <cp:lastModifiedBy>Malán David, Ing.</cp:lastModifiedBy>
  <cp:revision>4</cp:revision>
  <dcterms:created xsi:type="dcterms:W3CDTF">2020-10-27T10:40:00Z</dcterms:created>
  <dcterms:modified xsi:type="dcterms:W3CDTF">2020-11-03T10:14:00Z</dcterms:modified>
</cp:coreProperties>
</file>